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BE" w:rsidRDefault="000C21BE">
      <w:pPr>
        <w:spacing w:after="53" w:line="259" w:lineRule="auto"/>
        <w:ind w:left="9686" w:firstLine="0"/>
        <w:jc w:val="left"/>
      </w:pPr>
    </w:p>
    <w:p w:rsidR="000C21BE" w:rsidRPr="002E7FD5" w:rsidRDefault="002E7FD5">
      <w:pPr>
        <w:spacing w:after="190" w:line="259" w:lineRule="auto"/>
        <w:ind w:left="0" w:firstLine="0"/>
        <w:jc w:val="left"/>
        <w:rPr>
          <w:color w:val="auto"/>
        </w:rPr>
      </w:pPr>
      <w:r w:rsidRPr="002E7FD5">
        <w:rPr>
          <w:b/>
          <w:color w:val="auto"/>
          <w:sz w:val="22"/>
        </w:rPr>
        <w:t>Informácia k dynamickej cene</w:t>
      </w:r>
    </w:p>
    <w:p w:rsidR="000C21BE" w:rsidRPr="002E7FD5" w:rsidRDefault="002E7FD5">
      <w:pPr>
        <w:ind w:left="-5"/>
        <w:rPr>
          <w:color w:val="auto"/>
        </w:rPr>
      </w:pPr>
      <w:r w:rsidRPr="002E7FD5">
        <w:rPr>
          <w:color w:val="auto"/>
        </w:rPr>
        <w:t>Dynamická cena predstavuje produkt, pri ktorom sa cena za dodávku elektriny mení každú hodinu počas dňa. Cena sa vypočítava na základe veľkoobchodných cien na spotovom trhu. Odberateľ má možnosť informovať sa o aktuálnych veľkoobchodných cenách prostredníc</w:t>
      </w:r>
      <w:r w:rsidRPr="002E7FD5">
        <w:rPr>
          <w:color w:val="auto"/>
        </w:rPr>
        <w:t>tvom organizátora krátkodobého (tzv. spotového) trhu s elektrinou, ktorým je spoločnosť OKTE, a.s., ktorá každý deň stanovuje spotové ceny elektriny na základe dopytu a ponuky výrobcov elektriny a dodávateľov elektriny. Spotová cena sa stanovuje deň vopred</w:t>
      </w:r>
      <w:r w:rsidRPr="002E7FD5">
        <w:rPr>
          <w:color w:val="auto"/>
        </w:rPr>
        <w:t xml:space="preserve"> osobitne na každú hodinu nasledujúceho dňa. Odberateľ si tak môže dnes skontrolovať, akú cenu bude platiť zajtra za jednotlivé hodiny a prispôsobiť tomu svoj odber. Platba za dodávku elektriny sa stanoví ako súčin hodinových spotrieb elektriny (MWh) a hod</w:t>
      </w:r>
      <w:r w:rsidRPr="002E7FD5">
        <w:rPr>
          <w:color w:val="auto"/>
        </w:rPr>
        <w:t>inových spotových cien (hodinová cena elektriny pre obchodnú oblasť SK na dennom trhu organizovanom spoločnosťou OKTE, a.s., zverejnená na webovom sídle https://www.okte.sk/sk pre príslušný deň D a hodinu H (v EUR/MWh) navýšených o variabilný poplatok (€/M</w:t>
      </w:r>
      <w:r w:rsidRPr="002E7FD5">
        <w:rPr>
          <w:color w:val="auto"/>
        </w:rPr>
        <w:t>Wh). Výsledná fakturovaná cena v €/MWh je rovná podielu platby v € a množstva v MWh.  Dodávateľ bude fakturovať aj dojednanú fixnú mesačnú platbu (€/mesiac). Mesačná platba sa účtuje za každý mesiac fakturačného obdobia.</w:t>
      </w:r>
    </w:p>
    <w:p w:rsidR="000C21BE" w:rsidRPr="002E7FD5" w:rsidRDefault="002E7FD5">
      <w:pPr>
        <w:ind w:left="-5"/>
        <w:rPr>
          <w:color w:val="auto"/>
        </w:rPr>
      </w:pPr>
      <w:r w:rsidRPr="002E7FD5">
        <w:rPr>
          <w:color w:val="auto"/>
        </w:rPr>
        <w:t>Dynamická cena tak ponúka pre aktí</w:t>
      </w:r>
      <w:r w:rsidRPr="002E7FD5">
        <w:rPr>
          <w:color w:val="auto"/>
        </w:rPr>
        <w:t>vnych odberateľov možnosť dosiahnuť úspory vďaka zmene spotreby, resp. jej prispôsobenia stanoveným cenám pre konkrétne časové úseky dňa. Počas niektorých hodín dňa býva spotová cena výrazne nízka, dokonca môže dosiahnuť aj hodnoty blízke nule. Ak odberate</w:t>
      </w:r>
      <w:r w:rsidRPr="002E7FD5">
        <w:rPr>
          <w:color w:val="auto"/>
        </w:rPr>
        <w:t>ľ presunie časť spotreby do lacných (napr. nočných alebo víkendových) hodín, má možnosť dosiahnuť úsporu nákladov na dodávku elektriny. Tento produkt môže byť zaujímavý aj pre vlastníka elektromobilu, ktorý môže naplánovať nabíjanie elektromobilu na čas na</w:t>
      </w:r>
      <w:r w:rsidRPr="002E7FD5">
        <w:rPr>
          <w:color w:val="auto"/>
        </w:rPr>
        <w:t>jnižších cien počas dňa. Presun spotreby do hodín s nízkou spotovou cenou sa dá aplikovať aj na rôzne energeticky náročnejšie spotrebiče (práčka, sušička a pod.) a výrobné zariadenia v prípade firiem zameraných na výrobu.</w:t>
      </w:r>
    </w:p>
    <w:p w:rsidR="000C21BE" w:rsidRPr="002E7FD5" w:rsidRDefault="002E7FD5">
      <w:pPr>
        <w:ind w:left="-5"/>
        <w:rPr>
          <w:color w:val="auto"/>
        </w:rPr>
      </w:pPr>
      <w:r w:rsidRPr="002E7FD5">
        <w:rPr>
          <w:color w:val="auto"/>
        </w:rPr>
        <w:t>Dynamická cena z dôvodu naviazania</w:t>
      </w:r>
      <w:r w:rsidRPr="002E7FD5">
        <w:rPr>
          <w:color w:val="auto"/>
        </w:rPr>
        <w:t xml:space="preserve"> na spotový trh prináša aj riziká. Na rozdiel od bežnej fixnej ceny, odberateľ vopred nevie, aká bude jeho konečná cena na vyúčtovacej faktúre. Spotové ceny sa vyznačujú nestabilitou, t. j. sú veľmi premenlivé a neisté. Aj v rámci jedného dňa môže byť rozd</w:t>
      </w:r>
      <w:r w:rsidRPr="002E7FD5">
        <w:rPr>
          <w:color w:val="auto"/>
        </w:rPr>
        <w:t>iel medzi maximálnou a minimálnou hodinovou cenou niekoľkonásobný. Cena na spotovom trhu je stanovená na základe dopytu a ponuky. V čase vysokého dopytu, napr. z dôvodu extrémneho počasia alebo nízkej výroby elektriny, cena stúpa. Naopak, v čase nízkeho do</w:t>
      </w:r>
      <w:r w:rsidRPr="002E7FD5">
        <w:rPr>
          <w:color w:val="auto"/>
        </w:rPr>
        <w:t>pytu alebo vysokej výroby elektriny zo slnečných či veterných elektrární je cena veľmi priaznivá. Uvedená nestálosť cien na spotovom trhu sa tak premieta aj do dynamickej ceny, keď odberateľ na jednej strane znáša riziko rastu dynamickej ceny (v čase rastu</w:t>
      </w:r>
      <w:r w:rsidRPr="002E7FD5">
        <w:rPr>
          <w:color w:val="auto"/>
        </w:rPr>
        <w:t xml:space="preserve"> cien na spotovom trhu), na druhej strane v čase stabilizácie/poklesu cien na veľkoobchodných trhoch spotové ceny môžu klesnúť na priaznivé úrovne, čo môže aktívny odberateľ využiť vo svoj prospech a dosiahnuť tak úsporu jeho nákladov. V prípade poklesu sp</w:t>
      </w:r>
      <w:r w:rsidRPr="002E7FD5">
        <w:rPr>
          <w:color w:val="auto"/>
        </w:rPr>
        <w:t>otových cien odberateľ s dynamickou cenou získava okamžitý benefit v podobe poklesu dynamickej ceny, pričom nemusí čakať na ukončenie fixácie kontraktu s jeho dodávateľom.</w:t>
      </w:r>
    </w:p>
    <w:p w:rsidR="000C21BE" w:rsidRPr="002E7FD5" w:rsidRDefault="002E7FD5">
      <w:pPr>
        <w:spacing w:after="411"/>
        <w:ind w:left="-5"/>
        <w:rPr>
          <w:color w:val="auto"/>
        </w:rPr>
      </w:pPr>
      <w:r w:rsidRPr="002E7FD5">
        <w:rPr>
          <w:color w:val="auto"/>
        </w:rPr>
        <w:t>V prípade odberateľov v domácnosti treba upozorniť, že dynamická cena predstavuje fo</w:t>
      </w:r>
      <w:r w:rsidRPr="002E7FD5">
        <w:rPr>
          <w:color w:val="auto"/>
        </w:rPr>
        <w:t xml:space="preserve">rmu neregulovanej ceny za dodávku elektriny, ktorá môže byť aj vyššia ako cena za dodávku elektriny regulovaná zo strany Úradu pre reguláciu sieťových odvetví. </w:t>
      </w:r>
    </w:p>
    <w:p w:rsidR="000C21BE" w:rsidRPr="002E7FD5" w:rsidRDefault="002E7FD5">
      <w:pPr>
        <w:spacing w:after="3" w:line="259" w:lineRule="auto"/>
        <w:ind w:left="-5"/>
        <w:jc w:val="left"/>
        <w:rPr>
          <w:color w:val="auto"/>
        </w:rPr>
      </w:pPr>
      <w:r w:rsidRPr="002E7FD5">
        <w:rPr>
          <w:b/>
          <w:color w:val="auto"/>
        </w:rPr>
        <w:t>Hlavné výhody:</w:t>
      </w:r>
    </w:p>
    <w:p w:rsidR="000C21BE" w:rsidRPr="002E7FD5" w:rsidRDefault="002E7FD5">
      <w:pPr>
        <w:numPr>
          <w:ilvl w:val="0"/>
          <w:numId w:val="1"/>
        </w:numPr>
        <w:spacing w:after="2"/>
        <w:ind w:hanging="227"/>
        <w:rPr>
          <w:color w:val="auto"/>
        </w:rPr>
      </w:pPr>
      <w:r w:rsidRPr="002E7FD5">
        <w:rPr>
          <w:color w:val="auto"/>
        </w:rPr>
        <w:t>transparentná tvorba ceny za dodávku elektriny na základe veľkoobchodných cien d</w:t>
      </w:r>
      <w:r w:rsidRPr="002E7FD5">
        <w:rPr>
          <w:color w:val="auto"/>
        </w:rPr>
        <w:t>ostupných na webovom sídle OKTE, a.s.,</w:t>
      </w:r>
    </w:p>
    <w:p w:rsidR="000C21BE" w:rsidRPr="002E7FD5" w:rsidRDefault="002E7FD5">
      <w:pPr>
        <w:numPr>
          <w:ilvl w:val="0"/>
          <w:numId w:val="1"/>
        </w:numPr>
        <w:spacing w:after="1"/>
        <w:ind w:hanging="227"/>
        <w:rPr>
          <w:color w:val="auto"/>
        </w:rPr>
      </w:pPr>
      <w:r w:rsidRPr="002E7FD5">
        <w:rPr>
          <w:color w:val="auto"/>
        </w:rPr>
        <w:t>flexibilita odberu – odberateľ si nedojednáva zmluvný objem odberu elektriny, t. j. neuplatňujú sa sankcie v prípade nedodržania zmluvného objemu,</w:t>
      </w:r>
    </w:p>
    <w:p w:rsidR="000C21BE" w:rsidRPr="002E7FD5" w:rsidRDefault="002E7FD5">
      <w:pPr>
        <w:numPr>
          <w:ilvl w:val="0"/>
          <w:numId w:val="1"/>
        </w:numPr>
        <w:spacing w:after="242"/>
        <w:ind w:hanging="227"/>
        <w:rPr>
          <w:color w:val="auto"/>
        </w:rPr>
      </w:pPr>
      <w:r w:rsidRPr="002E7FD5">
        <w:rPr>
          <w:color w:val="auto"/>
        </w:rPr>
        <w:t>možnosť profitovať na prípadnom znížení spotových cien bez potreby uko</w:t>
      </w:r>
      <w:r w:rsidRPr="002E7FD5">
        <w:rPr>
          <w:color w:val="auto"/>
        </w:rPr>
        <w:t>nčenia fixácie kontraktu s dodávateľom.</w:t>
      </w:r>
    </w:p>
    <w:p w:rsidR="000C21BE" w:rsidRPr="002E7FD5" w:rsidRDefault="002E7FD5">
      <w:pPr>
        <w:spacing w:after="3" w:line="259" w:lineRule="auto"/>
        <w:ind w:left="-5"/>
        <w:jc w:val="left"/>
        <w:rPr>
          <w:color w:val="auto"/>
        </w:rPr>
      </w:pPr>
      <w:r w:rsidRPr="002E7FD5">
        <w:rPr>
          <w:b/>
          <w:color w:val="auto"/>
        </w:rPr>
        <w:t>Riziká a nevýhody:</w:t>
      </w:r>
    </w:p>
    <w:p w:rsidR="000C21BE" w:rsidRPr="002E7FD5" w:rsidRDefault="002E7FD5">
      <w:pPr>
        <w:numPr>
          <w:ilvl w:val="0"/>
          <w:numId w:val="1"/>
        </w:numPr>
        <w:spacing w:after="1272" w:line="262" w:lineRule="auto"/>
        <w:ind w:hanging="227"/>
        <w:rPr>
          <w:color w:val="auto"/>
        </w:rPr>
      </w:pPr>
      <w:r w:rsidRPr="002E7FD5">
        <w:rPr>
          <w:color w:val="auto"/>
        </w:rPr>
        <w:t>neistota odberateľa v otázke výšky ceny za dodávku elektriny, keďže cena sa mení na dennej (resp. hodinovej) báze, • kolísanie cien počas roka (zvyčajne v zimných mesiacoch cena vyššia, v letných n</w:t>
      </w:r>
      <w:r w:rsidRPr="002E7FD5">
        <w:rPr>
          <w:color w:val="auto"/>
        </w:rPr>
        <w:t>ižšia), • riziko vysokého nedoplatku na vyúčtovacej faktúre v prípade rastu spotových cien.</w:t>
      </w:r>
    </w:p>
    <w:p w:rsidR="000C21BE" w:rsidRPr="002E7FD5" w:rsidRDefault="002E7FD5">
      <w:pPr>
        <w:spacing w:after="86" w:line="353" w:lineRule="auto"/>
        <w:ind w:left="123" w:right="114"/>
        <w:rPr>
          <w:color w:val="auto"/>
        </w:rPr>
      </w:pPr>
      <w:r w:rsidRPr="002E7FD5">
        <w:rPr>
          <w:color w:val="auto"/>
        </w:rPr>
        <w:t>Uvedený produkt je určený pre odberateľov, ktorí majú nainštalované profilové meranie (inteligentný merací systém – IMS), a teda ich spotreba elektriny je zaznamenávaná po hodinách. V prípade, ak odberné miesto odberateľa nespadá do kategórií koncových odb</w:t>
      </w:r>
      <w:r w:rsidRPr="002E7FD5">
        <w:rPr>
          <w:color w:val="auto"/>
        </w:rPr>
        <w:t>erateľov elektriny s opodstatneným využitím IMS, ktoré určilo Ministerstvo hospodárstva SR s Úradom pre reguláciu sieťových odvetví, môže o jeho inštaláciu požiadať príslušného prevádzkovateľa distribučnej sústavy, pričom náklady na jeho inštaláciu uhrádza</w:t>
      </w:r>
      <w:r w:rsidRPr="002E7FD5">
        <w:rPr>
          <w:color w:val="auto"/>
        </w:rPr>
        <w:t xml:space="preserve"> odberateľ v rozsahu podľa prevádzkového poriadku príslušného prevádzkovateľa distribučnej sústavy. </w:t>
      </w:r>
      <w:bookmarkStart w:id="0" w:name="_GoBack"/>
      <w:bookmarkEnd w:id="0"/>
    </w:p>
    <w:p w:rsidR="000C21BE" w:rsidRPr="002E7FD5" w:rsidRDefault="000C21BE">
      <w:pPr>
        <w:spacing w:after="9297" w:line="259" w:lineRule="auto"/>
        <w:ind w:left="152" w:firstLine="0"/>
        <w:jc w:val="left"/>
        <w:rPr>
          <w:color w:val="auto"/>
        </w:rPr>
      </w:pPr>
    </w:p>
    <w:sectPr w:rsidR="000C21BE" w:rsidRPr="002E7FD5">
      <w:pgSz w:w="11906" w:h="16838"/>
      <w:pgMar w:top="930" w:right="849" w:bottom="391"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E26C2"/>
    <w:multiLevelType w:val="hybridMultilevel"/>
    <w:tmpl w:val="10DE6D20"/>
    <w:lvl w:ilvl="0" w:tplc="F304A630">
      <w:start w:val="1"/>
      <w:numFmt w:val="bullet"/>
      <w:lvlText w:val="•"/>
      <w:lvlJc w:val="left"/>
      <w:pPr>
        <w:ind w:left="227"/>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1" w:tplc="E810516A">
      <w:start w:val="1"/>
      <w:numFmt w:val="bullet"/>
      <w:lvlText w:val="o"/>
      <w:lvlJc w:val="left"/>
      <w:pPr>
        <w:ind w:left="108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2" w:tplc="B68A55A6">
      <w:start w:val="1"/>
      <w:numFmt w:val="bullet"/>
      <w:lvlText w:val="▪"/>
      <w:lvlJc w:val="left"/>
      <w:pPr>
        <w:ind w:left="180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3" w:tplc="36E8B3CC">
      <w:start w:val="1"/>
      <w:numFmt w:val="bullet"/>
      <w:lvlText w:val="•"/>
      <w:lvlJc w:val="left"/>
      <w:pPr>
        <w:ind w:left="252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4" w:tplc="10E47D16">
      <w:start w:val="1"/>
      <w:numFmt w:val="bullet"/>
      <w:lvlText w:val="o"/>
      <w:lvlJc w:val="left"/>
      <w:pPr>
        <w:ind w:left="324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5" w:tplc="3482E87A">
      <w:start w:val="1"/>
      <w:numFmt w:val="bullet"/>
      <w:lvlText w:val="▪"/>
      <w:lvlJc w:val="left"/>
      <w:pPr>
        <w:ind w:left="396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6" w:tplc="519C30EE">
      <w:start w:val="1"/>
      <w:numFmt w:val="bullet"/>
      <w:lvlText w:val="•"/>
      <w:lvlJc w:val="left"/>
      <w:pPr>
        <w:ind w:left="468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7" w:tplc="64E03A64">
      <w:start w:val="1"/>
      <w:numFmt w:val="bullet"/>
      <w:lvlText w:val="o"/>
      <w:lvlJc w:val="left"/>
      <w:pPr>
        <w:ind w:left="540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lvl w:ilvl="8" w:tplc="674C6996">
      <w:start w:val="1"/>
      <w:numFmt w:val="bullet"/>
      <w:lvlText w:val="▪"/>
      <w:lvlJc w:val="left"/>
      <w:pPr>
        <w:ind w:left="6120"/>
      </w:pPr>
      <w:rPr>
        <w:rFonts w:ascii="Calibri" w:eastAsia="Calibri" w:hAnsi="Calibri" w:cs="Calibri"/>
        <w:b w:val="0"/>
        <w:i w:val="0"/>
        <w:strike w:val="0"/>
        <w:dstrike w:val="0"/>
        <w:color w:val="2B3C6E"/>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BE"/>
    <w:rsid w:val="000C21BE"/>
    <w:rsid w:val="002E7F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4B651-284B-4851-91AF-E8D08990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71" w:line="261" w:lineRule="auto"/>
      <w:ind w:left="10" w:hanging="10"/>
      <w:jc w:val="both"/>
    </w:pPr>
    <w:rPr>
      <w:rFonts w:ascii="Calibri" w:eastAsia="Calibri" w:hAnsi="Calibri" w:cs="Calibri"/>
      <w:color w:val="2B3C6E"/>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Ervín Oravec</dc:creator>
  <cp:keywords/>
  <cp:lastModifiedBy>Ervín Oravec</cp:lastModifiedBy>
  <cp:revision>2</cp:revision>
  <dcterms:created xsi:type="dcterms:W3CDTF">2023-07-31T04:08:00Z</dcterms:created>
  <dcterms:modified xsi:type="dcterms:W3CDTF">2023-07-31T04:08:00Z</dcterms:modified>
</cp:coreProperties>
</file>